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E" w:rsidRPr="00563B69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951DE" w:rsidRDefault="00586DEC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наявність вакантної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посади державної служби категорії «В» - 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відділу 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прийому громадян, розгляду зверне</w:t>
      </w:r>
      <w:r w:rsidR="00E74E9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B0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та запитів Київської міської </w:t>
      </w:r>
      <w:r w:rsidR="005951DE" w:rsidRPr="00563B69">
        <w:rPr>
          <w:rFonts w:ascii="Times New Roman" w:hAnsi="Times New Roman" w:cs="Times New Roman"/>
          <w:b/>
          <w:sz w:val="28"/>
          <w:szCs w:val="28"/>
          <w:lang w:val="uk-UA"/>
        </w:rPr>
        <w:t>прокуратури</w:t>
      </w:r>
      <w:r w:rsidR="005B0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час відсутності основного працівника для догляду за дитиною до 19.08.2023)</w:t>
      </w:r>
    </w:p>
    <w:p w:rsidR="005951DE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5951DE" w:rsidTr="00E12053">
        <w:tc>
          <w:tcPr>
            <w:tcW w:w="9634" w:type="dxa"/>
            <w:gridSpan w:val="3"/>
          </w:tcPr>
          <w:p w:rsidR="005951DE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="00586D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</w:t>
            </w:r>
          </w:p>
        </w:tc>
      </w:tr>
      <w:tr w:rsidR="005951DE" w:rsidRPr="00562F63" w:rsidTr="00E12053">
        <w:trPr>
          <w:trHeight w:val="2978"/>
        </w:trPr>
        <w:tc>
          <w:tcPr>
            <w:tcW w:w="2972" w:type="dxa"/>
            <w:gridSpan w:val="2"/>
            <w:tcBorders>
              <w:bottom w:val="nil"/>
            </w:tcBorders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Посадові обов’язки</w:t>
            </w:r>
          </w:p>
        </w:tc>
        <w:tc>
          <w:tcPr>
            <w:tcW w:w="6662" w:type="dxa"/>
            <w:vMerge w:val="restart"/>
          </w:tcPr>
          <w:p w:rsidR="00562F63" w:rsidRPr="00562F63" w:rsidRDefault="00BB0CF5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</w:t>
            </w:r>
            <w:r w:rsid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Здійснює попереднє вивчення та визначення структурного підрозділу Київської міської прокуратури, до компетенції якого належить розгляд звернень громадян, звернень, які надійшли з Офісу Генерального прокурора та інших державних органів, а також звернень громадян, прийнятих на особистому </w:t>
            </w:r>
            <w:r w:rsidR="00562F63"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прийому керівництвом Київської міської прокуратури.</w:t>
            </w:r>
          </w:p>
          <w:p w:rsidR="00562F63" w:rsidRPr="00562F63" w:rsidRDefault="00562F63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Бере участь в аналітичній та методичній роботі.</w:t>
            </w:r>
          </w:p>
          <w:p w:rsidR="00562F63" w:rsidRPr="00562F63" w:rsidRDefault="00562F63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Розглядає звернення громадян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запити і звернення народних депутатів України, депутатів місцевих рад та інших контрольних документів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межах компетенції відділу,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готує проекти відповідей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  <w:p w:rsidR="00562F63" w:rsidRDefault="00562F63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Вживає заходів щодо збору, накопичення, систематизації та опрацювання інформації, необхідної для проведення аналітичних досліджень.</w:t>
            </w:r>
          </w:p>
          <w:p w:rsidR="00562F63" w:rsidRPr="00562F63" w:rsidRDefault="00562F63" w:rsidP="00562F63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Згідно з планами роботи та розпорядженнями керівника Київської міської прокуратури бере участь у проведенні перевірок у підпорядкованих прокуратурах та структурних підрозділах апарату щодо стану виконання галузевого наказу, наданні практичної допомоги з питань організації роботи з розгляду звернень та запитів, особистого прийому громадян та доступу до публічної інформації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562F63" w:rsidRDefault="00562F63" w:rsidP="00562F63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</w:t>
            </w:r>
            <w:r w:rsidRPr="00562F6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Перевіряє достовірність статистичної звітності, правильність і своєчасність внесення відомостей про результати розгляду звернень ІАС ОСОП за територіальним або функціональним (предметним) принципом відповідно до розподілу обов’язків у окружних прокуратурах міста Києва та структурних підрозділах апарату Київської міської прокуратури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F66AE7" w:rsidRDefault="00F66AE7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Забезпечує прийом усних звернень по</w:t>
            </w:r>
            <w:r w:rsidRPr="00BB0CF5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Pr="00BB0CF5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«гарячої лінії»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, надає відповідні консультації з питань, не віднесених до компетенції органів прокуратури. Здійснює попередній розгляд таких звернень та їх подальшу передачу до служби діловодства.</w:t>
            </w:r>
          </w:p>
          <w:p w:rsidR="005951DE" w:rsidRDefault="00F66AE7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       Бере участь у підготовці статистичної звітності відділу, матеріалів для розгляду на оперативних нарадах у керівництва Київської міської прокуратури.</w:t>
            </w:r>
          </w:p>
          <w:p w:rsidR="00F66AE7" w:rsidRDefault="00F66AE7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F66AE7" w:rsidRPr="002A2596" w:rsidRDefault="00F66AE7" w:rsidP="00BB0CF5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5951DE" w:rsidRPr="00562F63" w:rsidTr="00E12053">
        <w:tc>
          <w:tcPr>
            <w:tcW w:w="2972" w:type="dxa"/>
            <w:gridSpan w:val="2"/>
            <w:tcBorders>
              <w:top w:val="nil"/>
            </w:tcBorders>
          </w:tcPr>
          <w:p w:rsidR="005951DE" w:rsidRPr="00F841FC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662" w:type="dxa"/>
            <w:vMerge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RPr="00562F63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Посадовий оклад – </w:t>
            </w:r>
            <w:r w:rsidR="00BB0CF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580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0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5951DE" w:rsidRPr="00F841FC" w:rsidRDefault="00586DEC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без конкурсу,</w:t>
            </w:r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строково</w:t>
            </w:r>
            <w:proofErr w:type="spellEnd"/>
            <w:r w:rsidR="00F66AE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на час відпустки основного працівника для догляду за дитиною до 19.08.2023 та</w:t>
            </w:r>
            <w:r w:rsidR="00E9158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Перелік інформації,</w:t>
            </w:r>
          </w:p>
          <w:p w:rsidR="005951DE" w:rsidRPr="00F841FC" w:rsidRDefault="00586DEC" w:rsidP="009A0923">
            <w:pPr>
              <w:spacing w:line="0" w:lineRule="atLeast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яка очікується від кандидата на посаду</w:t>
            </w:r>
          </w:p>
        </w:tc>
        <w:tc>
          <w:tcPr>
            <w:tcW w:w="6662" w:type="dxa"/>
          </w:tcPr>
          <w:p w:rsidR="001E2BB1" w:rsidRPr="001E2BB1" w:rsidRDefault="001E2BB1" w:rsidP="0089301B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1E2B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особова картка державного службовця</w:t>
            </w:r>
            <w:r w:rsidR="00DF68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встановленого зразка</w:t>
            </w:r>
            <w:r w:rsidRPr="001E2BB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;</w:t>
            </w:r>
          </w:p>
          <w:p w:rsidR="005951DE" w:rsidRPr="00F841FC" w:rsidRDefault="001E2BB1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резюме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у довільній формі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, в якому обов’язково зазначається така інформація: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 прізвище, ім’я, по батькові кандидата;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підтвердження наявності відповідного ступеня вищої освіти;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81582" w:rsidRDefault="00281582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2) копію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документа, що посвідчує особу та підтверджує громадянство України;</w:t>
            </w:r>
          </w:p>
          <w:p w:rsidR="00281582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3)</w:t>
            </w:r>
            <w:r w:rsidR="0028158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копію документа, що підтверджує рівень освіти;</w:t>
            </w:r>
          </w:p>
          <w:p w:rsidR="005951DE" w:rsidRDefault="00281582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4)</w:t>
            </w:r>
            <w:r w:rsidR="005951D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5951DE"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копію Державного сертифікату про рівень володіння державною мовою </w:t>
            </w:r>
            <w:r w:rsidR="00586DE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(за наявності)</w:t>
            </w:r>
          </w:p>
          <w:p w:rsidR="002833C3" w:rsidRPr="00DF683F" w:rsidRDefault="002833C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833C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5)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довідка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 результатами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перевірки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проведеної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відповідно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вимог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Закону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«Про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очищення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влади</w:t>
            </w:r>
            <w:proofErr w:type="spellEnd"/>
            <w:r w:rsidRPr="002833C3">
              <w:rPr>
                <w:rFonts w:ascii="Times New Roman" w:eastAsia="Calibri" w:hAnsi="Times New Roman" w:cs="Times New Roman"/>
                <w:sz w:val="27"/>
                <w:szCs w:val="27"/>
              </w:rPr>
              <w:t>»</w:t>
            </w:r>
            <w:r w:rsidR="00DF683F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(за наявності)</w:t>
            </w:r>
            <w:r w:rsidR="0089301B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.</w:t>
            </w:r>
          </w:p>
          <w:p w:rsidR="00586DEC" w:rsidRPr="00586DEC" w:rsidRDefault="005951DE" w:rsidP="0041657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Інформація приймається до 15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uk-UA"/>
              </w:rPr>
              <w:t>00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F66AE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29</w:t>
            </w:r>
            <w:r w:rsidR="00586DEC"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</w:t>
            </w:r>
            <w:r w:rsidR="00F66AE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  <w:r w:rsidR="00586DEC"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</w:t>
            </w:r>
            <w:r w:rsidRP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202</w:t>
            </w:r>
            <w:r w:rsidR="00F66AE7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  <w:r w:rsidR="00586DE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на електронну адресу</w:t>
            </w:r>
            <w:r w:rsidR="00586DEC" w:rsidRPr="00586DE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@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.</w:t>
            </w:r>
            <w:proofErr w:type="spellStart"/>
            <w:r w:rsidR="00586DEC" w:rsidRPr="00586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bookmarkStart w:id="0" w:name="_GoBack"/>
            <w:bookmarkEnd w:id="0"/>
            <w:proofErr w:type="spellEnd"/>
          </w:p>
        </w:tc>
      </w:tr>
      <w:tr w:rsidR="005951DE" w:rsidTr="00E12053"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Ізбіцька Світлана </w:t>
            </w:r>
            <w:proofErr w:type="spellStart"/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Адольфівна</w:t>
            </w:r>
            <w:proofErr w:type="spellEnd"/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(044)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527-72-32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5951DE" w:rsidTr="00E12053"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/>
              </w:rPr>
              <w:t>Кваліфікаційні вимоги</w:t>
            </w:r>
          </w:p>
        </w:tc>
      </w:tr>
      <w:tr w:rsidR="005951DE" w:rsidTr="00E12053"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Освіта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Вища освіта не нижче ступеня бакалавра або молодшого бакалавра (спеціальність «Правознавство/Право)</w:t>
            </w:r>
          </w:p>
        </w:tc>
      </w:tr>
      <w:tr w:rsidR="005951DE" w:rsidTr="00E12053"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Не потребує</w:t>
            </w:r>
          </w:p>
        </w:tc>
      </w:tr>
      <w:tr w:rsidR="005951DE" w:rsidTr="00E12053">
        <w:trPr>
          <w:trHeight w:val="840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3.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5951DE" w:rsidTr="00E12053">
        <w:trPr>
          <w:trHeight w:val="415"/>
        </w:trPr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Досягнення результатів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здатність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чіткого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бачення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результату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;</w:t>
            </w:r>
          </w:p>
          <w:p w:rsidR="008F2133" w:rsidRPr="008F2133" w:rsidRDefault="008F2133" w:rsidP="009A0923">
            <w:pPr>
              <w:numPr>
                <w:ilvl w:val="0"/>
                <w:numId w:val="2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фокусувати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зусилля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досягнення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результату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5951DE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запобігати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ефективно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долати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перешкоди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Якісне виконання поставлених завдань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чітке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точне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формулювання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мети,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цілей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службової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8F2133" w:rsidRPr="008F213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комплексний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підхід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виконання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виявлення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ризиків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; </w:t>
            </w:r>
          </w:p>
          <w:p w:rsidR="005951DE" w:rsidRPr="009A0923" w:rsidRDefault="008F2133" w:rsidP="009A0923">
            <w:pPr>
              <w:numPr>
                <w:ilvl w:val="0"/>
                <w:numId w:val="3"/>
              </w:numPr>
              <w:spacing w:line="0" w:lineRule="atLeast"/>
              <w:ind w:left="0" w:hanging="237"/>
              <w:contextualSpacing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розуміння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змісту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завдань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його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кінцевих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самостійне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визначення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можливих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шляхів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їх</w:t>
            </w:r>
            <w:proofErr w:type="spellEnd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F2133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досягнення</w:t>
            </w:r>
            <w:proofErr w:type="spellEnd"/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Arial Unicode MS" w:hAnsi="Arial Unicode MS"/>
                <w:color w:val="000000"/>
                <w:sz w:val="27"/>
                <w:szCs w:val="27"/>
                <w:lang w:val="uk-UA" w:eastAsia="uk-UA" w:bidi="uk-UA"/>
              </w:rPr>
            </w:pP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усвідомлення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важливості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якісного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виконання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своїх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посадових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обов'язків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з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дотриманням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строків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та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встановлених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процедур;</w:t>
            </w:r>
            <w:r w:rsidRPr="008F2133">
              <w:rPr>
                <w:rFonts w:ascii="Arial Unicode MS" w:hAnsi="Arial Unicode MS"/>
                <w:color w:val="000000"/>
                <w:sz w:val="27"/>
                <w:szCs w:val="27"/>
                <w:lang w:eastAsia="uk-UA" w:bidi="uk-UA"/>
              </w:rPr>
              <w:t xml:space="preserve"> </w:t>
            </w:r>
          </w:p>
          <w:p w:rsidR="008F2133" w:rsidRDefault="008F2133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усвідомлення рівня відповідальності під час опрацювання та підготовки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проєктів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E74E9F" w:rsidRPr="008F2133" w:rsidRDefault="00E74E9F" w:rsidP="009A0923">
            <w:pPr>
              <w:widowControl w:val="0"/>
              <w:numPr>
                <w:ilvl w:val="0"/>
                <w:numId w:val="4"/>
              </w:numPr>
              <w:spacing w:line="0" w:lineRule="atLeast"/>
              <w:ind w:left="0" w:hanging="238"/>
              <w:jc w:val="both"/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к</w:t>
            </w:r>
            <w:r w:rsidRPr="00E74E9F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омунікація та взаємодія, самоорганізація та самостійність у роботі, уважність до деталей, відповідальність, якісне виконання поставлених завдань, технічні вміння</w:t>
            </w: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;</w:t>
            </w:r>
          </w:p>
          <w:p w:rsidR="005951DE" w:rsidRPr="008F2133" w:rsidRDefault="008F2133" w:rsidP="00F66AE7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440"/>
              </w:tabs>
              <w:spacing w:line="0" w:lineRule="atLeast"/>
              <w:ind w:left="0" w:hanging="14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здатність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брати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на себе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зобов’язання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,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чітко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виконувати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і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дотримуватися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встановлених</w:t>
            </w:r>
            <w:proofErr w:type="spellEnd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 xml:space="preserve"> </w:t>
            </w:r>
            <w:proofErr w:type="spellStart"/>
            <w:r w:rsidRPr="008F213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eastAsia="uk-UA" w:bidi="uk-UA"/>
              </w:rPr>
              <w:t>вимог</w:t>
            </w:r>
            <w:proofErr w:type="spellEnd"/>
            <w:r w:rsidR="00F66AE7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val="uk-UA" w:eastAsia="uk-UA" w:bidi="uk-UA"/>
              </w:rPr>
              <w:t>.</w:t>
            </w:r>
          </w:p>
        </w:tc>
      </w:tr>
      <w:tr w:rsidR="005951DE" w:rsidTr="00E12053">
        <w:trPr>
          <w:trHeight w:val="415"/>
        </w:trPr>
        <w:tc>
          <w:tcPr>
            <w:tcW w:w="9634" w:type="dxa"/>
            <w:gridSpan w:val="3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5951DE" w:rsidTr="00E12053">
        <w:trPr>
          <w:trHeight w:val="415"/>
        </w:trPr>
        <w:tc>
          <w:tcPr>
            <w:tcW w:w="2972" w:type="dxa"/>
            <w:gridSpan w:val="2"/>
          </w:tcPr>
          <w:p w:rsidR="005951DE" w:rsidRPr="00F841FC" w:rsidRDefault="005951DE" w:rsidP="009A092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Вимоги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5951DE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662" w:type="dxa"/>
          </w:tcPr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Конституції України;</w:t>
            </w:r>
          </w:p>
          <w:p w:rsidR="005951DE" w:rsidRPr="00F841FC" w:rsidRDefault="005951DE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</w:t>
            </w:r>
            <w:r w:rsidR="00F66A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України «Про державну службу»; «Про запобігання корупції»</w:t>
            </w:r>
            <w:r w:rsidR="00F66AE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«Про прокуратуру» </w:t>
            </w:r>
          </w:p>
        </w:tc>
      </w:tr>
      <w:tr w:rsidR="005951DE" w:rsidRPr="00BB0CF5" w:rsidTr="00E12053">
        <w:trPr>
          <w:trHeight w:val="415"/>
        </w:trPr>
        <w:tc>
          <w:tcPr>
            <w:tcW w:w="562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410" w:type="dxa"/>
          </w:tcPr>
          <w:p w:rsidR="005951DE" w:rsidRPr="00F841FC" w:rsidRDefault="005951DE" w:rsidP="009A092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1F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 у сфері</w:t>
            </w:r>
          </w:p>
        </w:tc>
        <w:tc>
          <w:tcPr>
            <w:tcW w:w="6662" w:type="dxa"/>
          </w:tcPr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Знання:</w:t>
            </w:r>
          </w:p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звернення  громадян»;</w:t>
            </w:r>
          </w:p>
          <w:p w:rsidR="008F2133" w:rsidRPr="008F2133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доступ до публічної інформації»,</w:t>
            </w:r>
          </w:p>
          <w:p w:rsidR="005951DE" w:rsidRPr="00F841FC" w:rsidRDefault="008F2133" w:rsidP="009A0923">
            <w:pPr>
              <w:widowControl w:val="0"/>
              <w:tabs>
                <w:tab w:val="left" w:pos="1440"/>
              </w:tabs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213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електронні документи та електронний документообіг», Регламенту Офісу Генерального прокурора, Київської міської прокуратури; Тимчасової інструкція з діловодства в органах прокуратури України, затвердженої наказом Генерального прокурора України від 12.02.2019 №27.</w:t>
            </w:r>
          </w:p>
        </w:tc>
      </w:tr>
    </w:tbl>
    <w:p w:rsidR="005951DE" w:rsidRPr="00563B69" w:rsidRDefault="005951DE" w:rsidP="009A092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6A2" w:rsidRPr="005951DE" w:rsidRDefault="00DC2056" w:rsidP="009A0923">
      <w:pPr>
        <w:spacing w:after="0" w:line="0" w:lineRule="atLeast"/>
        <w:rPr>
          <w:lang w:val="uk-UA"/>
        </w:rPr>
      </w:pPr>
    </w:p>
    <w:sectPr w:rsidR="00EB46A2" w:rsidRPr="005951DE" w:rsidSect="009971E2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56" w:rsidRDefault="00DC2056">
      <w:pPr>
        <w:spacing w:after="0" w:line="240" w:lineRule="auto"/>
      </w:pPr>
      <w:r>
        <w:separator/>
      </w:r>
    </w:p>
  </w:endnote>
  <w:endnote w:type="continuationSeparator" w:id="0">
    <w:p w:rsidR="00DC2056" w:rsidRDefault="00DC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56" w:rsidRDefault="00DC2056">
      <w:pPr>
        <w:spacing w:after="0" w:line="240" w:lineRule="auto"/>
      </w:pPr>
      <w:r>
        <w:separator/>
      </w:r>
    </w:p>
  </w:footnote>
  <w:footnote w:type="continuationSeparator" w:id="0">
    <w:p w:rsidR="00DC2056" w:rsidRDefault="00DC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0B5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DC20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50C6"/>
    <w:multiLevelType w:val="hybridMultilevel"/>
    <w:tmpl w:val="1182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DE"/>
    <w:rsid w:val="000B5BD4"/>
    <w:rsid w:val="000D65E8"/>
    <w:rsid w:val="001E2BB1"/>
    <w:rsid w:val="00281582"/>
    <w:rsid w:val="002833C3"/>
    <w:rsid w:val="002A2596"/>
    <w:rsid w:val="002A2D3A"/>
    <w:rsid w:val="003F2649"/>
    <w:rsid w:val="00416573"/>
    <w:rsid w:val="004E5E04"/>
    <w:rsid w:val="00562F63"/>
    <w:rsid w:val="00586DEC"/>
    <w:rsid w:val="005951DE"/>
    <w:rsid w:val="005B0EDE"/>
    <w:rsid w:val="006310B6"/>
    <w:rsid w:val="007645A9"/>
    <w:rsid w:val="007B41AE"/>
    <w:rsid w:val="0089301B"/>
    <w:rsid w:val="008F2133"/>
    <w:rsid w:val="0091736F"/>
    <w:rsid w:val="009A0923"/>
    <w:rsid w:val="00A77172"/>
    <w:rsid w:val="00BB0CF5"/>
    <w:rsid w:val="00D44CA0"/>
    <w:rsid w:val="00D55919"/>
    <w:rsid w:val="00DC2056"/>
    <w:rsid w:val="00DF683F"/>
    <w:rsid w:val="00E12053"/>
    <w:rsid w:val="00E74E9F"/>
    <w:rsid w:val="00E91583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3671"/>
  <w15:chartTrackingRefBased/>
  <w15:docId w15:val="{5FCB7F87-2A12-453A-9077-863AB81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1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5951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51DE"/>
    <w:pPr>
      <w:widowControl w:val="0"/>
      <w:shd w:val="clear" w:color="auto" w:fill="FFFFFF"/>
      <w:spacing w:before="420" w:after="60" w:line="302" w:lineRule="exact"/>
      <w:ind w:firstLine="740"/>
      <w:jc w:val="both"/>
    </w:pPr>
    <w:rPr>
      <w:sz w:val="28"/>
      <w:szCs w:val="28"/>
      <w:lang w:val="uk-UA"/>
    </w:rPr>
  </w:style>
  <w:style w:type="paragraph" w:styleId="a4">
    <w:name w:val="Normal (Web)"/>
    <w:basedOn w:val="a"/>
    <w:rsid w:val="0059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1DE"/>
    <w:rPr>
      <w:lang w:val="ru-RU"/>
    </w:rPr>
  </w:style>
  <w:style w:type="character" w:customStyle="1" w:styleId="rvts23">
    <w:name w:val="rvts23"/>
    <w:basedOn w:val="a0"/>
    <w:rsid w:val="005951DE"/>
  </w:style>
  <w:style w:type="character" w:styleId="a7">
    <w:name w:val="Hyperlink"/>
    <w:basedOn w:val="a0"/>
    <w:uiPriority w:val="99"/>
    <w:unhideWhenUsed/>
    <w:rsid w:val="00586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6DE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23</cp:revision>
  <cp:lastPrinted>2022-05-31T12:08:00Z</cp:lastPrinted>
  <dcterms:created xsi:type="dcterms:W3CDTF">2022-05-31T11:11:00Z</dcterms:created>
  <dcterms:modified xsi:type="dcterms:W3CDTF">2023-06-27T07:29:00Z</dcterms:modified>
</cp:coreProperties>
</file>