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D8453D" w:rsidRPr="00242913" w:rsidRDefault="00D8453D" w:rsidP="00885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 xml:space="preserve">про наявність вакантної посади державної служби категорії «В» - </w:t>
      </w:r>
      <w:r w:rsidR="00557C21">
        <w:rPr>
          <w:rFonts w:ascii="Times New Roman" w:eastAsia="Calibri" w:hAnsi="Times New Roman" w:cs="Times New Roman"/>
          <w:b/>
          <w:bCs/>
          <w:sz w:val="28"/>
          <w:szCs w:val="28"/>
        </w:rPr>
        <w:t>головного спеціаліста з питань мобілізаційної роботи відділу кадрової роботи та державної служби</w:t>
      </w:r>
      <w:r w:rsidR="00F42B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міської прокуратури</w:t>
      </w:r>
    </w:p>
    <w:p w:rsidR="00D8453D" w:rsidRPr="002D37A4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555"/>
        <w:gridCol w:w="2187"/>
        <w:gridCol w:w="6751"/>
        <w:gridCol w:w="10"/>
      </w:tblGrid>
      <w:tr w:rsidR="00D8453D" w:rsidRPr="00D8453D" w:rsidTr="002D37A4">
        <w:tc>
          <w:tcPr>
            <w:tcW w:w="9503" w:type="dxa"/>
            <w:gridSpan w:val="4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3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відомості</w:t>
            </w:r>
          </w:p>
        </w:tc>
      </w:tr>
      <w:tr w:rsidR="00D8453D" w:rsidRPr="00D8453D" w:rsidTr="002D37A4">
        <w:trPr>
          <w:gridAfter w:val="1"/>
          <w:wAfter w:w="10" w:type="dxa"/>
          <w:trHeight w:val="2978"/>
        </w:trPr>
        <w:tc>
          <w:tcPr>
            <w:tcW w:w="2742" w:type="dxa"/>
            <w:gridSpan w:val="2"/>
            <w:tcBorders>
              <w:bottom w:val="nil"/>
            </w:tcBorders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Посадові обов’язки</w:t>
            </w:r>
          </w:p>
        </w:tc>
        <w:tc>
          <w:tcPr>
            <w:tcW w:w="6751" w:type="dxa"/>
            <w:vMerge w:val="restart"/>
          </w:tcPr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3а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дорученням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начальника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готує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проекти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нормативно-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правових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актів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розпорядчих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документів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мобілізаційної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підготовки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Бере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участь у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плануванні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розробці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проведенні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заходів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мобілізаційної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підготовки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в органах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відповідно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до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вимог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законів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інших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нормативно-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правових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актів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Організовує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розробку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оперативно-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мобілізаційних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документів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щодо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 w:rsidR="005256E9"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функціонування</w:t>
            </w:r>
            <w:proofErr w:type="spellEnd"/>
            <w:proofErr w:type="gramEnd"/>
            <w:r w:rsidR="005256E9"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в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умовах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особливого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періоду</w:t>
            </w:r>
            <w:proofErr w:type="spellEnd"/>
            <w:r w:rsidR="0064421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="0064421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забезпечує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їх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своєчасне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ведення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уточнення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Забезпечує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взаємодію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структурних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підрозділів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підпорядкованих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прокуратур при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здійсненні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заходів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мобілізаційної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підготовки</w:t>
            </w:r>
            <w:proofErr w:type="spellEnd"/>
            <w:r w:rsidR="005256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а </w:t>
            </w:r>
            <w:proofErr w:type="spellStart"/>
            <w:r w:rsidR="005256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також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координує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здійснення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="00202EB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цих</w:t>
            </w:r>
            <w:proofErr w:type="spellEnd"/>
            <w:r w:rsidR="00202EB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заходів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в органах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="00202EB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Веде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бази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опрацьовує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інформацію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відомості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щодо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працівників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: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призваних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службу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мобілізацією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або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 контрактом;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яким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надано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статус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учасника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бойових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дій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звільнених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служби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(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демобілізованих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) і тих,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хто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виїжджає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тимчасово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окуповану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територію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або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територію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якій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державної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влади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тимчасово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не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здійснюють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своїх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повноважень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Здійснює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контроль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функціонуванням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системи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оповіщення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“Ольхон”,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забезпечує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своєчасне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наповнення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даними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працівників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Бере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участь у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проведенні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навчально-методичних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заходів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інструктажів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що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належать до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його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компетенції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Бере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участь у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взаємодії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з органами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виконавчої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влади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іншими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державними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органами,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установами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організаціями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підприємствами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мобілізаційної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підготовки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в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підпорядкованих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органах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Надає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пропозиції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щодо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удосконалення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організації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і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підвищення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ефективності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закріпленому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напрямі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Веде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облік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проведеної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proofErr w:type="gram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готує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звіт</w:t>
            </w:r>
            <w:proofErr w:type="spellEnd"/>
            <w:proofErr w:type="gram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про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чисельність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працюючих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військовозобов’язаних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які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заброньовані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згідно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переліками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посад і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професій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,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інформацію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про стан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бронювання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військовозобов’язаних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  <w:r w:rsidR="00B2119D"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Веде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персональний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військовий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облік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призовників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військовозобов’язаних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працівників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Здійснює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заходи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щодо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бронювання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військовозобов’язаних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працівників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період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мобілізації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воєнний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час. </w:t>
            </w: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 xml:space="preserve">Проводить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відповідні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звірки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територіальними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центрами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комплектування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соціальної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підтримки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557C21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Відповідає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організацію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підготовки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обслуговуючого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персоналу та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організацію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запасного пункту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управління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до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використання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призначенням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Координує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підготовку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до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використання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призначенням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запасного пункту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управління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Київської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міської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прокуратури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Забезпечує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контроль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створенням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необхідних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запасів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матеріально-технічних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засобів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особливий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період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у межах</w:t>
            </w:r>
            <w:proofErr w:type="gram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його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повноважень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8453D" w:rsidRPr="00B37956" w:rsidRDefault="00557C21" w:rsidP="00557C2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Виконує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інші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завдання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за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дорученням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начальника </w:t>
            </w:r>
            <w:proofErr w:type="spellStart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B3795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2742" w:type="dxa"/>
            <w:gridSpan w:val="2"/>
            <w:tcBorders>
              <w:top w:val="nil"/>
            </w:tcBorders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51" w:type="dxa"/>
            <w:vMerge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274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Умови оплати праці</w:t>
            </w:r>
          </w:p>
        </w:tc>
        <w:tc>
          <w:tcPr>
            <w:tcW w:w="6751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Посадовий оклад – </w:t>
            </w:r>
            <w:r w:rsidR="00441181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3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60C00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003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bookmarkStart w:id="0" w:name="_GoBack"/>
            <w:bookmarkEnd w:id="0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грн.</w:t>
            </w:r>
            <w:r w:rsidR="00612A9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відповідно до</w:t>
            </w:r>
            <w:r w:rsidR="00ED376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Постанови Кабінету Міністрів України від 29.12.2023 №1409 та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6A3A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Закону України «Про державний бюджет на 2024 рік»</w:t>
            </w:r>
            <w:r w:rsidR="00ED376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="00612A9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доплати, премії та компенсації відповідно до статті 52 Закону України «Про державну службу»</w:t>
            </w:r>
            <w:r w:rsidR="00ED376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="00612A9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1948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.01.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року №15 «Питання оплати праці працівників державних органів» (зі змінами)</w:t>
            </w:r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2742" w:type="dxa"/>
            <w:gridSpan w:val="2"/>
          </w:tcPr>
          <w:p w:rsidR="00D8453D" w:rsidRPr="00D8453D" w:rsidRDefault="00D8453D" w:rsidP="002D37A4">
            <w:pPr>
              <w:spacing w:after="0" w:line="240" w:lineRule="auto"/>
              <w:ind w:left="22" w:right="-54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51" w:type="dxa"/>
          </w:tcPr>
          <w:p w:rsidR="00D8453D" w:rsidRPr="00B26726" w:rsidRDefault="007C1C9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строково</w:t>
            </w:r>
            <w:proofErr w:type="spellEnd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8453D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274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Перелік інформації,</w:t>
            </w:r>
          </w:p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яка очікується від кандидата на посаду</w:t>
            </w:r>
          </w:p>
        </w:tc>
        <w:tc>
          <w:tcPr>
            <w:tcW w:w="6751" w:type="dxa"/>
          </w:tcPr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 резюме у довільній формі, в якому обов’язково зазначається така інформація: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прізвище, ім’я, по батькові кандидата;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підтвердження наявності відповідного ступеня вищої освіти;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копію документа, що посвідчує особу та підтверджує громадянство України;</w:t>
            </w:r>
          </w:p>
          <w:p w:rsidR="00D8453D" w:rsidRPr="00B26726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копію документа, що підтверджує рівень освіти;</w:t>
            </w:r>
          </w:p>
          <w:p w:rsidR="00D8453D" w:rsidRPr="00B26726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копію Державного сертифікату про рівень володіння державною мовою (за наявності)</w:t>
            </w:r>
            <w:r w:rsidR="003640DC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E80942" w:rsidRPr="00B26726" w:rsidRDefault="00E80942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5)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довідка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за результатами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перевірки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проведеної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відповідно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вимог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Закону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«Про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очищення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влади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  <w:r w:rsidR="00B802A1"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(за </w:t>
            </w:r>
            <w:proofErr w:type="spellStart"/>
            <w:r w:rsidR="00B802A1"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наявності</w:t>
            </w:r>
            <w:proofErr w:type="spellEnd"/>
            <w:r w:rsidR="00B802A1"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).</w:t>
            </w:r>
          </w:p>
          <w:p w:rsidR="00D8453D" w:rsidRPr="00B26726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Інформація приймається до 1</w:t>
            </w:r>
            <w:r w:rsidR="00B211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2672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4AEB">
              <w:rPr>
                <w:rFonts w:ascii="Times New Roman" w:hAnsi="Times New Roman" w:cs="Times New Roman"/>
                <w:b/>
                <w:sz w:val="26"/>
                <w:szCs w:val="26"/>
              </w:rPr>
              <w:t>03.03.2025</w:t>
            </w: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електронну адресу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kadry</w:t>
            </w:r>
            <w:proofErr w:type="spellEnd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@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kyiv</w:t>
            </w:r>
            <w:proofErr w:type="spellEnd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gp</w:t>
            </w:r>
            <w:proofErr w:type="spellEnd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gov</w:t>
            </w:r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2742" w:type="dxa"/>
            <w:gridSpan w:val="2"/>
          </w:tcPr>
          <w:p w:rsidR="003640DC" w:rsidRPr="00D8453D" w:rsidRDefault="00D8453D" w:rsidP="002D37A4">
            <w:pPr>
              <w:spacing w:after="0" w:line="240" w:lineRule="auto"/>
              <w:ind w:left="-120" w:right="-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Прізвище, ім’я та по батькові, номер телефону та адреса </w:t>
            </w:r>
            <w:r w:rsidRPr="00D8453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електронної пошти особи, яка надає додаткову інформацію з питань проведення конкурсу</w:t>
            </w:r>
          </w:p>
        </w:tc>
        <w:tc>
          <w:tcPr>
            <w:tcW w:w="6751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Ізбіцька Світлана </w:t>
            </w:r>
            <w:proofErr w:type="spellStart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Адольфівна</w:t>
            </w:r>
            <w:proofErr w:type="spellEnd"/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(044) 527-72-32</w:t>
            </w: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453D" w:rsidRPr="00D8453D" w:rsidTr="002D37A4">
        <w:tc>
          <w:tcPr>
            <w:tcW w:w="9503" w:type="dxa"/>
            <w:gridSpan w:val="4"/>
          </w:tcPr>
          <w:p w:rsidR="00202EB9" w:rsidRDefault="00202EB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Кваліфікаційні вимоги</w:t>
            </w:r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Освіта</w:t>
            </w:r>
          </w:p>
        </w:tc>
        <w:tc>
          <w:tcPr>
            <w:tcW w:w="6751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Вища освіта не нижче ступеня бакалавра або молодшого бакалавра</w:t>
            </w:r>
          </w:p>
        </w:tc>
      </w:tr>
      <w:tr w:rsidR="00D8453D" w:rsidRPr="00D8453D" w:rsidTr="002D37A4">
        <w:trPr>
          <w:gridAfter w:val="1"/>
          <w:wAfter w:w="10" w:type="dxa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Досвід роботи</w:t>
            </w:r>
          </w:p>
        </w:tc>
        <w:tc>
          <w:tcPr>
            <w:tcW w:w="6751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потребує</w:t>
            </w:r>
          </w:p>
        </w:tc>
      </w:tr>
      <w:tr w:rsidR="00D8453D" w:rsidRPr="00D8453D" w:rsidTr="002D37A4">
        <w:trPr>
          <w:gridAfter w:val="1"/>
          <w:wAfter w:w="10" w:type="dxa"/>
          <w:trHeight w:val="840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187" w:type="dxa"/>
          </w:tcPr>
          <w:p w:rsidR="00015D7B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751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Вільне володіння державною мовою</w:t>
            </w:r>
          </w:p>
        </w:tc>
      </w:tr>
      <w:tr w:rsidR="00D8453D" w:rsidRPr="00D8453D" w:rsidTr="002D37A4">
        <w:trPr>
          <w:trHeight w:val="415"/>
        </w:trPr>
        <w:tc>
          <w:tcPr>
            <w:tcW w:w="9503" w:type="dxa"/>
            <w:gridSpan w:val="4"/>
          </w:tcPr>
          <w:p w:rsidR="00202EB9" w:rsidRDefault="00202EB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Вимоги до компетентності</w:t>
            </w:r>
          </w:p>
        </w:tc>
      </w:tr>
      <w:tr w:rsidR="00D8453D" w:rsidRPr="00D8453D" w:rsidTr="002D37A4">
        <w:trPr>
          <w:gridAfter w:val="1"/>
          <w:wAfter w:w="10" w:type="dxa"/>
          <w:trHeight w:val="415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Досягнення результатів</w:t>
            </w:r>
          </w:p>
        </w:tc>
        <w:tc>
          <w:tcPr>
            <w:tcW w:w="6751" w:type="dxa"/>
          </w:tcPr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здатність до логічного мислення, узагальнення, конкретизації, розкладення складних питань на складові, виділяти головне від другорядного, виявляти закономірності;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вміння аналізувати інформацію та робити висновки, критично оцінювати ситуації, прогнозувати та робити власні висновки.</w:t>
            </w:r>
          </w:p>
        </w:tc>
      </w:tr>
      <w:tr w:rsidR="00D8453D" w:rsidRPr="00D8453D" w:rsidTr="002D37A4">
        <w:trPr>
          <w:gridAfter w:val="1"/>
          <w:wAfter w:w="10" w:type="dxa"/>
          <w:trHeight w:val="415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Якісне виконання поставлених завдань</w:t>
            </w:r>
          </w:p>
        </w:tc>
        <w:tc>
          <w:tcPr>
            <w:tcW w:w="6751" w:type="dxa"/>
          </w:tcPr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 xml:space="preserve">- здатність до </w:t>
            </w:r>
            <w:proofErr w:type="spellStart"/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самомотивації</w:t>
            </w:r>
            <w:proofErr w:type="spellEnd"/>
            <w:r w:rsidRPr="00B26726">
              <w:rPr>
                <w:rFonts w:ascii="Times New Roman" w:hAnsi="Times New Roman" w:cs="Times New Roman"/>
                <w:sz w:val="26"/>
                <w:szCs w:val="26"/>
              </w:rPr>
              <w:t xml:space="preserve"> (самоуправління);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вміння самостійно приймати рішення і виконувати завдання у професійній діяльності.</w:t>
            </w:r>
          </w:p>
        </w:tc>
      </w:tr>
      <w:tr w:rsidR="00D8453D" w:rsidRPr="00D8453D" w:rsidTr="002D37A4">
        <w:trPr>
          <w:gridAfter w:val="1"/>
          <w:wAfter w:w="10" w:type="dxa"/>
          <w:trHeight w:val="415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Відповідальність</w:t>
            </w:r>
          </w:p>
        </w:tc>
        <w:tc>
          <w:tcPr>
            <w:tcW w:w="6751" w:type="dxa"/>
          </w:tcPr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орієнтація на командний результат;</w:t>
            </w:r>
          </w:p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готовність працювати у команді та сприяти колегам у їх професійній діяльності задля досягнення спільних цілей;</w:t>
            </w:r>
          </w:p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відкритість в обміні інформацією</w:t>
            </w:r>
            <w:r w:rsidR="00727F5F" w:rsidRPr="00B267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453D" w:rsidRPr="00D8453D" w:rsidTr="002D37A4">
        <w:trPr>
          <w:trHeight w:val="415"/>
        </w:trPr>
        <w:tc>
          <w:tcPr>
            <w:tcW w:w="9503" w:type="dxa"/>
            <w:gridSpan w:val="4"/>
          </w:tcPr>
          <w:p w:rsidR="00202EB9" w:rsidRDefault="00202EB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Професійні знання</w:t>
            </w:r>
          </w:p>
        </w:tc>
      </w:tr>
      <w:tr w:rsidR="00D8453D" w:rsidRPr="00D8453D" w:rsidTr="002D37A4">
        <w:trPr>
          <w:gridAfter w:val="1"/>
          <w:wAfter w:w="10" w:type="dxa"/>
          <w:trHeight w:val="415"/>
        </w:trPr>
        <w:tc>
          <w:tcPr>
            <w:tcW w:w="274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</w:t>
            </w:r>
          </w:p>
        </w:tc>
        <w:tc>
          <w:tcPr>
            <w:tcW w:w="6751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Компоненти вимоги</w:t>
            </w:r>
          </w:p>
        </w:tc>
      </w:tr>
      <w:tr w:rsidR="00D8453D" w:rsidRPr="00D8453D" w:rsidTr="002D37A4">
        <w:trPr>
          <w:gridAfter w:val="1"/>
          <w:wAfter w:w="10" w:type="dxa"/>
          <w:trHeight w:val="415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751" w:type="dxa"/>
          </w:tcPr>
          <w:p w:rsidR="00D8453D" w:rsidRPr="00B26726" w:rsidRDefault="00D8453D" w:rsidP="002D37A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  <w:r w:rsidR="002D3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Конституції України;</w:t>
            </w:r>
            <w:r w:rsidR="002D3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державну службу»;</w:t>
            </w:r>
            <w:r w:rsidR="002D3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запобігання корупції»</w:t>
            </w:r>
            <w:r w:rsidR="002D37A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прокуратуру» та іншого законодавства</w:t>
            </w:r>
          </w:p>
        </w:tc>
      </w:tr>
      <w:tr w:rsidR="00D8453D" w:rsidRPr="00D8453D" w:rsidTr="002D37A4">
        <w:trPr>
          <w:gridAfter w:val="1"/>
          <w:wAfter w:w="10" w:type="dxa"/>
          <w:trHeight w:val="415"/>
        </w:trPr>
        <w:tc>
          <w:tcPr>
            <w:tcW w:w="55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87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 у сфері</w:t>
            </w:r>
          </w:p>
        </w:tc>
        <w:tc>
          <w:tcPr>
            <w:tcW w:w="6751" w:type="dxa"/>
          </w:tcPr>
          <w:p w:rsidR="00651400" w:rsidRPr="00B26726" w:rsidRDefault="00F42BE4" w:rsidP="0088503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Закон України «</w:t>
            </w:r>
            <w:r w:rsidRPr="00202EB9">
              <w:rPr>
                <w:rFonts w:ascii="Times New Roman" w:hAnsi="Times New Roman" w:cs="Times New Roman"/>
                <w:sz w:val="26"/>
                <w:szCs w:val="26"/>
              </w:rPr>
              <w:t>Про доступ до публічної інформації», Закон України «Про електронні документи та електронний документообіг»</w:t>
            </w:r>
            <w:r w:rsidR="00202EB9" w:rsidRPr="00202EB9">
              <w:rPr>
                <w:rFonts w:ascii="Times New Roman" w:hAnsi="Times New Roman" w:cs="Times New Roman"/>
                <w:sz w:val="26"/>
                <w:szCs w:val="26"/>
              </w:rPr>
              <w:t xml:space="preserve">; Закон України «Про мобілізаційну </w:t>
            </w:r>
            <w:r w:rsidR="00202EB9" w:rsidRPr="00202E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підготовку та мобілізацію»; Порядок </w:t>
            </w:r>
            <w:r w:rsidR="00202EB9" w:rsidRPr="00202EB9">
              <w:rPr>
                <w:rStyle w:val="rvts2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бронювання військовозобов’язаних за списком військовозобов’язаних під час дії воєнного </w:t>
            </w:r>
            <w:r w:rsidR="00202EB9" w:rsidRPr="002107C4">
              <w:rPr>
                <w:rStyle w:val="rvts2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стану, затверджений постановою Кабінету Міністрів України від 27.01.2023 №76; Порядок організації та ведення військового обліку призовників, військовозобов’язаних та резервістів, затверджений постановою Кабінету Міністрів України від 30.12.2022 №1487</w:t>
            </w:r>
            <w:r w:rsidR="000902C1" w:rsidRPr="002107C4">
              <w:rPr>
                <w:rStyle w:val="rvts2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;</w:t>
            </w:r>
            <w:r w:rsidR="002107C4" w:rsidRPr="002107C4">
              <w:rPr>
                <w:rStyle w:val="rvts2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2107C4" w:rsidRPr="002107C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Порядо</w:t>
            </w:r>
            <w:r w:rsidR="002107C4" w:rsidRPr="00210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2107C4" w:rsidRPr="002107C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час,</w:t>
            </w:r>
            <w:r w:rsidR="002107C4" w:rsidRPr="00210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затверджений</w:t>
            </w:r>
            <w:r w:rsidR="002107C4" w:rsidRPr="002107C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107C4" w:rsidRPr="002107C4">
              <w:rPr>
                <w:rStyle w:val="rvts2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Постан</w:t>
            </w:r>
            <w:r w:rsidR="002107C4" w:rsidRPr="002107C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овою Кабінету Міністрів України від 04.02.2015 року № 45 (в редакції постанови Міністрів України від 11 січня 2018 року № 12 та змінами, внесеними постановою Кабінету Міністрів України від 23 лютого 2022 року № 272)</w:t>
            </w:r>
          </w:p>
        </w:tc>
      </w:tr>
    </w:tbl>
    <w:p w:rsidR="00EB46A2" w:rsidRPr="00D8453D" w:rsidRDefault="007E2DBB" w:rsidP="00D8453D"/>
    <w:sectPr w:rsidR="00EB46A2" w:rsidRPr="00D8453D" w:rsidSect="000467D7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BB" w:rsidRDefault="007E2DBB">
      <w:pPr>
        <w:spacing w:after="0" w:line="240" w:lineRule="auto"/>
      </w:pPr>
      <w:r>
        <w:separator/>
      </w:r>
    </w:p>
  </w:endnote>
  <w:endnote w:type="continuationSeparator" w:id="0">
    <w:p w:rsidR="007E2DBB" w:rsidRDefault="007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BB" w:rsidRDefault="007E2DBB">
      <w:pPr>
        <w:spacing w:after="0" w:line="240" w:lineRule="auto"/>
      </w:pPr>
      <w:r>
        <w:separator/>
      </w:r>
    </w:p>
  </w:footnote>
  <w:footnote w:type="continuationSeparator" w:id="0">
    <w:p w:rsidR="007E2DBB" w:rsidRDefault="007E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7C1C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7E2D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D"/>
    <w:rsid w:val="00003F36"/>
    <w:rsid w:val="00015D7B"/>
    <w:rsid w:val="000243E8"/>
    <w:rsid w:val="000318F4"/>
    <w:rsid w:val="000467D7"/>
    <w:rsid w:val="00061CFA"/>
    <w:rsid w:val="0007111F"/>
    <w:rsid w:val="000902C1"/>
    <w:rsid w:val="000D45A0"/>
    <w:rsid w:val="000D65E8"/>
    <w:rsid w:val="0015421E"/>
    <w:rsid w:val="0019482E"/>
    <w:rsid w:val="00202EB9"/>
    <w:rsid w:val="002107C4"/>
    <w:rsid w:val="00266A53"/>
    <w:rsid w:val="002C700A"/>
    <w:rsid w:val="002D37A4"/>
    <w:rsid w:val="002E7ED9"/>
    <w:rsid w:val="002F0A59"/>
    <w:rsid w:val="003640DC"/>
    <w:rsid w:val="00391363"/>
    <w:rsid w:val="003F2649"/>
    <w:rsid w:val="00441181"/>
    <w:rsid w:val="004C597C"/>
    <w:rsid w:val="005256E9"/>
    <w:rsid w:val="00557C21"/>
    <w:rsid w:val="00612A99"/>
    <w:rsid w:val="006167BD"/>
    <w:rsid w:val="00624083"/>
    <w:rsid w:val="00627CFD"/>
    <w:rsid w:val="006315F5"/>
    <w:rsid w:val="0064421A"/>
    <w:rsid w:val="00651400"/>
    <w:rsid w:val="00667D8C"/>
    <w:rsid w:val="006B1807"/>
    <w:rsid w:val="00727F5F"/>
    <w:rsid w:val="00760C00"/>
    <w:rsid w:val="00796A3A"/>
    <w:rsid w:val="007C1C99"/>
    <w:rsid w:val="007E2DBB"/>
    <w:rsid w:val="00862D6B"/>
    <w:rsid w:val="00885034"/>
    <w:rsid w:val="008A6804"/>
    <w:rsid w:val="00911083"/>
    <w:rsid w:val="00A0543D"/>
    <w:rsid w:val="00A11A5E"/>
    <w:rsid w:val="00A71047"/>
    <w:rsid w:val="00AA0A29"/>
    <w:rsid w:val="00B2119D"/>
    <w:rsid w:val="00B26726"/>
    <w:rsid w:val="00B35FAA"/>
    <w:rsid w:val="00B37956"/>
    <w:rsid w:val="00B420AA"/>
    <w:rsid w:val="00B802A1"/>
    <w:rsid w:val="00B82666"/>
    <w:rsid w:val="00BA0829"/>
    <w:rsid w:val="00BA4AEB"/>
    <w:rsid w:val="00BE270F"/>
    <w:rsid w:val="00C42AF5"/>
    <w:rsid w:val="00CE4FF4"/>
    <w:rsid w:val="00D14E22"/>
    <w:rsid w:val="00D42715"/>
    <w:rsid w:val="00D8453D"/>
    <w:rsid w:val="00E21C4E"/>
    <w:rsid w:val="00E80942"/>
    <w:rsid w:val="00ED3769"/>
    <w:rsid w:val="00F42BE4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45FE"/>
  <w15:chartTrackingRefBased/>
  <w15:docId w15:val="{DC582A91-D682-499E-8E66-8D7A043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53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8453D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C99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20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4680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44</cp:revision>
  <cp:lastPrinted>2024-04-03T14:07:00Z</cp:lastPrinted>
  <dcterms:created xsi:type="dcterms:W3CDTF">2022-05-31T11:50:00Z</dcterms:created>
  <dcterms:modified xsi:type="dcterms:W3CDTF">2025-02-03T09:44:00Z</dcterms:modified>
</cp:coreProperties>
</file>